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1979733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ind w:right="21"/>
        <w:tabs>
          <w:tab w:val="left" w:pos="9900" w:leader="none"/>
        </w:tabs>
        <w:rPr>
          <w:rFonts w:ascii="Liberation Sans" w:hAnsi="Liberation Sans" w:eastAsia="Liberation Serif" w:cs="Liberation Sans"/>
          <w:color w:val="0000ff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            № 570-т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49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0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49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  <w:t xml:space="preserve">Проведена государственная регистрация нормативных правовых актов</w:t>
      </w:r>
      <w:r>
        <w:rPr>
          <w:sz w:val="26"/>
          <w:szCs w:val="26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  <w:t xml:space="preserve">Ямало-Ненецкого автономного округа _____________________ 2024 г.</w:t>
      </w:r>
      <w:r>
        <w:rPr>
          <w:sz w:val="26"/>
          <w:szCs w:val="26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bCs/>
          <w:sz w:val="26"/>
          <w:szCs w:val="26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6"/>
          <w:szCs w:val="26"/>
        </w:rPr>
        <w:t xml:space="preserve">__</w:t>
      </w:r>
      <w:r>
        <w:rPr>
          <w:sz w:val="26"/>
          <w:szCs w:val="26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6"/>
          <w:szCs w:val="26"/>
          <w:highlight w:val="none"/>
        </w:rPr>
      </w:r>
      <w:r>
        <w:rPr>
          <w:rFonts w:ascii="Liberation Sans" w:hAnsi="Liberation Sans" w:eastAsia="Liberation Serif" w:cs="Liberation Sans"/>
          <w:b/>
          <w:bCs/>
          <w:sz w:val="26"/>
          <w:szCs w:val="26"/>
          <w:highlight w:val="none"/>
        </w:rPr>
      </w:r>
      <w:r/>
    </w:p>
    <w:p>
      <w:pPr>
        <w:ind w:left="0" w:right="0" w:firstLine="540"/>
        <w:jc w:val="center"/>
        <w:spacing w:before="0" w:after="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6"/>
          <w:szCs w:val="26"/>
        </w:rPr>
        <w:t xml:space="preserve">Об установлении </w:t>
      </w:r>
      <w:r>
        <w:rPr>
          <w:rFonts w:ascii="Liberation Sans" w:hAnsi="Liberation Sans" w:eastAsia="Times New Roman" w:cs="Liberation Sans"/>
          <w:b/>
          <w:bCs/>
          <w:color w:val="000000"/>
          <w:sz w:val="26"/>
          <w:szCs w:val="26"/>
        </w:rPr>
        <w:t xml:space="preserve">открытому акционерному обществу </w:t>
      </w:r>
      <w:r>
        <w:rPr>
          <w:sz w:val="26"/>
          <w:szCs w:val="26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6"/>
          <w:szCs w:val="26"/>
        </w:rPr>
      </w:r>
      <w:r>
        <w:rPr>
          <w:rFonts w:ascii="Liberation Sans" w:hAnsi="Liberation Sans" w:eastAsia="Times New Roman" w:cs="Liberation Sans"/>
          <w:b/>
          <w:bCs/>
          <w:color w:val="000000"/>
          <w:sz w:val="26"/>
          <w:szCs w:val="26"/>
        </w:rPr>
        <w:t xml:space="preserve">«Тепло-Энергетик» </w:t>
      </w:r>
      <w:r>
        <w:rPr>
          <w:rFonts w:ascii="Liberation Sans" w:hAnsi="Liberation Sans" w:eastAsia="Liberation Serif" w:cs="Liberation Sans"/>
          <w:b/>
          <w:bCs/>
          <w:sz w:val="26"/>
          <w:szCs w:val="26"/>
        </w:rPr>
        <w:t xml:space="preserve">тарифов </w:t>
      </w:r>
      <w:r>
        <w:rPr>
          <w:rFonts w:ascii="Liberation Sans" w:hAnsi="Liberation Sans" w:eastAsia="Liberation Serif" w:cs="Liberation Sans"/>
          <w:b/>
          <w:bCs/>
          <w:sz w:val="26"/>
          <w:szCs w:val="26"/>
        </w:rPr>
        <w:t xml:space="preserve">на подвоз воды </w:t>
      </w:r>
      <w:r>
        <w:rPr>
          <w:rFonts w:ascii="Liberation Sans" w:hAnsi="Liberation Sans" w:eastAsia="Liberation Serif" w:cs="Liberation Sans"/>
          <w:b/>
          <w:bCs/>
          <w:sz w:val="26"/>
          <w:szCs w:val="26"/>
        </w:rPr>
        <w:t xml:space="preserve">для расчетов </w:t>
      </w:r>
      <w:r>
        <w:rPr>
          <w:rFonts w:ascii="Liberation Sans" w:hAnsi="Liberation Sans" w:eastAsia="Liberation Serif" w:cs="Liberation Sans"/>
          <w:b/>
          <w:bCs/>
          <w:sz w:val="26"/>
          <w:szCs w:val="26"/>
          <w:highlight w:val="none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6"/>
          <w:szCs w:val="26"/>
        </w:rPr>
        <w:t xml:space="preserve">с потребителями </w:t>
      </w:r>
      <w:r>
        <w:rPr>
          <w:rFonts w:ascii="Liberation Sans" w:hAnsi="Liberation Sans" w:eastAsia="Times New Roman" w:cs="Liberation Sans"/>
          <w:b/>
          <w:bCs/>
          <w:color w:val="000000"/>
          <w:sz w:val="26"/>
          <w:szCs w:val="26"/>
        </w:rPr>
        <w:t xml:space="preserve">городского округа город Лабытнанги </w:t>
      </w:r>
      <w:r>
        <w:rPr>
          <w:rFonts w:ascii="Liberation Sans" w:hAnsi="Liberation Sans" w:eastAsia="Liberation Serif" w:cs="Liberation Sans"/>
          <w:b/>
          <w:bCs/>
          <w:sz w:val="26"/>
          <w:szCs w:val="26"/>
          <w:highlight w:val="none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6"/>
          <w:szCs w:val="26"/>
        </w:rPr>
      </w:r>
      <w:r>
        <w:rPr>
          <w:rFonts w:ascii="Liberation Sans" w:hAnsi="Liberation Sans" w:eastAsia="Times New Roman" w:cs="Liberation Sans"/>
          <w:b/>
          <w:bCs/>
          <w:color w:val="000000"/>
          <w:sz w:val="26"/>
          <w:szCs w:val="26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/>
          <w:bCs/>
          <w:color w:val="000000"/>
          <w:sz w:val="26"/>
          <w:szCs w:val="26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6"/>
          <w:szCs w:val="26"/>
        </w:rPr>
        <w:t xml:space="preserve">на 2025 год</w:t>
      </w:r>
      <w:r>
        <w:rPr>
          <w:sz w:val="26"/>
          <w:szCs w:val="26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6"/>
          <w:szCs w:val="26"/>
        </w:rPr>
      </w:pPr>
      <w:r>
        <w:rPr>
          <w:rFonts w:ascii="Liberation Sans" w:hAnsi="Liberation Sans" w:eastAsia="Liberation Serif" w:cs="Liberation Sans"/>
          <w:b/>
          <w:bCs/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bCs/>
          <w:sz w:val="26"/>
          <w:szCs w:val="26"/>
        </w:rPr>
        <w:t xml:space="preserve">В соответствии с Федеральным законом от 07 декабря 2011 года </w:t>
      </w:r>
      <w:r>
        <w:rPr>
          <w:rFonts w:ascii="Liberation Sans" w:hAnsi="Liberation Sans" w:eastAsia="Liberation Serif" w:cs="Liberation Sans"/>
          <w:bCs/>
          <w:sz w:val="26"/>
          <w:szCs w:val="26"/>
        </w:rPr>
        <w:br/>
        <w:t xml:space="preserve">№ 416-Ф</w:t>
      </w:r>
      <w:r>
        <w:rPr>
          <w:rFonts w:ascii="Liberation Sans" w:hAnsi="Liberation Sans" w:eastAsia="Liberation Serif" w:cs="Liberation Sans"/>
          <w:bCs/>
          <w:sz w:val="26"/>
          <w:szCs w:val="26"/>
        </w:rPr>
        <w:t xml:space="preserve">З «О водоснабжении и водоотведении»</w:t>
      </w:r>
      <w:r>
        <w:rPr>
          <w:rFonts w:ascii="Liberation Sans" w:hAnsi="Liberation Sans" w:eastAsia="Liberation Serif" w:cs="Liberation Sans"/>
          <w:sz w:val="26"/>
          <w:szCs w:val="26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6"/>
          <w:szCs w:val="26"/>
        </w:rPr>
        <w:br/>
        <w:t xml:space="preserve">«О государственном регулировании тарифов в сфере водоснабжения </w:t>
        <w:br/>
      </w:r>
      <w:r>
        <w:rPr>
          <w:rFonts w:ascii="Liberation Sans" w:hAnsi="Liberation Sans" w:eastAsia="Liberation Serif" w:cs="Liberation Sans"/>
          <w:sz w:val="26"/>
          <w:szCs w:val="26"/>
        </w:rPr>
        <w:t xml:space="preserve">и водоотведения», </w:t>
      </w:r>
      <w:hyperlink r:id="rId11" w:tooltip="consultantplus://offline/ref=365AED68EC0A6655463CE1D1A489055AE601029C57B406C19C50D6866798E59Dd1E3K" w:history="1">
        <w:r>
          <w:rPr>
            <w:rFonts w:ascii="Liberation Sans" w:hAnsi="Liberation Sans" w:eastAsia="Liberation Serif" w:cs="Liberation Sans"/>
            <w:sz w:val="26"/>
            <w:szCs w:val="26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sz w:val="26"/>
          <w:szCs w:val="26"/>
        </w:rPr>
        <w:t xml:space="preserve"> Ямало-Ненецкого автономного округа </w:t>
      </w:r>
      <w:r>
        <w:rPr>
          <w:rFonts w:ascii="Liberation Sans" w:hAnsi="Liberation Sans" w:eastAsia="Liberation Serif" w:cs="Liberation Sans"/>
          <w:sz w:val="26"/>
          <w:szCs w:val="26"/>
        </w:rPr>
        <w:br/>
        <w:t xml:space="preserve">от 01 декабря 2014 года № 107-ЗАО </w:t>
      </w:r>
      <w:r>
        <w:rPr>
          <w:rFonts w:ascii="Liberation Sans" w:hAnsi="Liberation Sans" w:eastAsia="Liberation Serif" w:cs="Liberation Sans"/>
          <w:bCs/>
          <w:sz w:val="26"/>
          <w:szCs w:val="26"/>
        </w:rPr>
        <w:t xml:space="preserve">«Об установлении отдельных категорий потребителей коммунальных ресурсов и коммунальной услуги по обращению </w:t>
      </w:r>
      <w:r>
        <w:rPr>
          <w:rFonts w:ascii="Liberation Sans" w:hAnsi="Liberation Sans" w:eastAsia="Liberation Serif" w:cs="Liberation Sans"/>
          <w:bCs/>
          <w:sz w:val="26"/>
          <w:szCs w:val="26"/>
        </w:rPr>
        <w:t xml:space="preserve">с твердыми коммуна</w:t>
      </w:r>
      <w:r>
        <w:rPr>
          <w:rFonts w:ascii="Liberation Sans" w:hAnsi="Liberation Sans" w:eastAsia="Liberation Serif" w:cs="Liberation Sans"/>
          <w:bCs/>
          <w:sz w:val="26"/>
          <w:szCs w:val="26"/>
        </w:rPr>
        <w:t xml:space="preserve">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</w:t>
      </w:r>
      <w:r>
        <w:rPr>
          <w:rFonts w:ascii="Liberation Sans" w:hAnsi="Liberation Sans" w:eastAsia="Liberation Serif" w:cs="Liberation Sans"/>
          <w:bCs/>
          <w:sz w:val="26"/>
          <w:szCs w:val="26"/>
        </w:rPr>
        <w:t xml:space="preserve">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6"/>
          <w:szCs w:val="26"/>
        </w:rPr>
        <w:t xml:space="preserve">, постановлением Правительства Ямало-Ненецк</w:t>
      </w:r>
      <w:r>
        <w:rPr>
          <w:rFonts w:ascii="Liberation Sans" w:hAnsi="Liberation Sans" w:eastAsia="Liberation Serif" w:cs="Liberation Sans"/>
          <w:sz w:val="26"/>
          <w:szCs w:val="26"/>
        </w:rPr>
        <w:t xml:space="preserve">ого автономного округа от 25 декабря 2013 года № 1081-П </w:t>
        <w:br/>
        <w:t xml:space="preserve">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6"/>
          <w:szCs w:val="26"/>
        </w:rPr>
        <w:t xml:space="preserve">п р и к а з ы в а ю:</w:t>
      </w:r>
      <w:r>
        <w:rPr>
          <w:sz w:val="26"/>
          <w:szCs w:val="26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sz w:val="26"/>
          <w:szCs w:val="26"/>
        </w:rPr>
      </w:r>
      <w:r/>
    </w:p>
    <w:p>
      <w:pPr>
        <w:ind w:left="0" w:right="0" w:firstLine="850"/>
        <w:jc w:val="both"/>
        <w:spacing w:before="0" w:after="0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1. Установить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6"/>
          <w:szCs w:val="26"/>
        </w:rPr>
        <w:t xml:space="preserve">открытому акционерному обществу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6"/>
          <w:szCs w:val="26"/>
        </w:rPr>
        <w:t xml:space="preserve">«Тепло-Энергетик»</w:t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 тарифы на подвоз воды </w:t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для расчетов 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6"/>
          <w:szCs w:val="26"/>
        </w:rPr>
        <w:t xml:space="preserve">городского округа город Лабытнанги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6"/>
          <w:szCs w:val="26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6"/>
          <w:szCs w:val="26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на 2025 год</w:t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 согласно приложению.</w:t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  <w:highlight w:val="none"/>
        </w:rPr>
      </w:r>
      <w:r/>
    </w:p>
    <w:p>
      <w:pPr>
        <w:ind w:firstLine="708"/>
        <w:jc w:val="both"/>
        <w:rPr>
          <w:rFonts w:ascii="Liberation Sans" w:hAnsi="Liberation Sans" w:cs="Liberation Sans"/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/>
          <w:sz w:val="26"/>
          <w:szCs w:val="26"/>
          <w:highlight w:val="none"/>
        </w:rPr>
        <w:t xml:space="preserve">2. </w:t>
      </w:r>
      <w:r>
        <w:rPr>
          <w:b w:val="0"/>
          <w:bCs w:val="0"/>
          <w:sz w:val="26"/>
          <w:szCs w:val="26"/>
        </w:rPr>
      </w:r>
      <w:hyperlink r:id="rId12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b w:val="0"/>
            <w:bCs w:val="0"/>
            <w:color w:val="000000" w:themeColor="text1"/>
            <w:sz w:val="26"/>
            <w:szCs w:val="26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6"/>
          <w:szCs w:val="26"/>
        </w:rPr>
        <w:t xml:space="preserve">, установленные в пункте 1 настоящего приказа, действуют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6"/>
          <w:szCs w:val="26"/>
        </w:rPr>
        <w:br/>
        <w:t xml:space="preserve">с 01 января 2025 года по 31 декабря 2025 года.</w:t>
      </w:r>
      <w:r>
        <w:rPr>
          <w:b w:val="0"/>
          <w:bCs w:val="0"/>
          <w:sz w:val="26"/>
          <w:szCs w:val="26"/>
        </w:rPr>
      </w:r>
      <w:r/>
    </w:p>
    <w:p>
      <w:pPr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bCs/>
          <w:sz w:val="26"/>
          <w:szCs w:val="26"/>
        </w:rPr>
      </w:r>
      <w:r>
        <w:rPr>
          <w:sz w:val="26"/>
          <w:szCs w:val="26"/>
        </w:rPr>
      </w:r>
      <w:r/>
    </w:p>
    <w:p>
      <w:pPr>
        <w:ind w:left="-142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color w:val="000000" w:themeColor="text1"/>
          <w:sz w:val="26"/>
          <w:szCs w:val="26"/>
        </w:rPr>
      </w:r>
      <w:r>
        <w:rPr>
          <w:rFonts w:ascii="Liberation Sans" w:hAnsi="Liberation Sans" w:eastAsia="Liberation Serif" w:cs="Liberation Sans"/>
          <w:bCs/>
          <w:color w:val="000000" w:themeColor="text1"/>
          <w:sz w:val="26"/>
          <w:szCs w:val="26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6"/>
          <w:szCs w:val="26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6"/>
          <w:szCs w:val="26"/>
        </w:rPr>
        <w:t xml:space="preserve">тарифной </w:t>
      </w:r>
      <w:r>
        <w:rPr>
          <w:sz w:val="26"/>
          <w:szCs w:val="26"/>
        </w:rPr>
      </w:r>
      <w:r/>
    </w:p>
    <w:p>
      <w:pPr>
        <w:ind w:left="-142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color w:val="000000" w:themeColor="text1"/>
          <w:sz w:val="26"/>
          <w:szCs w:val="26"/>
        </w:rPr>
        <w:t xml:space="preserve">политики, энергетики </w:t>
      </w:r>
      <w:r>
        <w:rPr>
          <w:sz w:val="26"/>
          <w:szCs w:val="26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eastAsia="Liberation Serif" w:cs="Liberation Sans"/>
          <w:color w:val="000000" w:themeColor="text1"/>
          <w:sz w:val="26"/>
          <w:szCs w:val="26"/>
        </w:rPr>
        <w:t xml:space="preserve">и жилищно-коммунального комплекса </w:t>
      </w:r>
      <w:r>
        <w:rPr>
          <w:sz w:val="26"/>
          <w:szCs w:val="26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eastAsia="Liberation Serif" w:cs="Liberation Sans"/>
          <w:color w:val="000000" w:themeColor="text1"/>
          <w:sz w:val="26"/>
          <w:szCs w:val="26"/>
        </w:rPr>
      </w:r>
      <w:r>
        <w:rPr>
          <w:rFonts w:ascii="Liberation Sans" w:hAnsi="Liberation Sans" w:eastAsia="Liberation Serif" w:cs="Liberation Sans"/>
          <w:color w:val="000000" w:themeColor="text1"/>
          <w:sz w:val="26"/>
          <w:szCs w:val="26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6"/>
          <w:szCs w:val="26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6"/>
          <w:szCs w:val="26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6"/>
          <w:szCs w:val="26"/>
        </w:rPr>
        <w:t xml:space="preserve">                                </w:t>
      </w:r>
      <w:r>
        <w:rPr>
          <w:rFonts w:ascii="Liberation Sans" w:hAnsi="Liberation Sans" w:eastAsia="Liberation Serif" w:cs="Liberation Sans"/>
          <w:bCs/>
          <w:sz w:val="26"/>
          <w:szCs w:val="26"/>
        </w:rPr>
        <w:t xml:space="preserve">Д.Н. Афанасьев</w:t>
      </w:r>
      <w:r>
        <w:rPr>
          <w:sz w:val="26"/>
          <w:szCs w:val="26"/>
        </w:rPr>
      </w:r>
      <w:r/>
    </w:p>
    <w:p>
      <w:pPr>
        <w:rPr>
          <w:rFonts w:ascii="Liberation Sans" w:hAnsi="Liberation Sans" w:cs="Liberation Sans"/>
          <w:bCs/>
          <w:sz w:val="24"/>
          <w:szCs w:val="24"/>
        </w:rPr>
        <w:sectPr>
          <w:footnotePr/>
          <w:endnotePr/>
          <w:type w:val="nextPage"/>
          <w:pgSz w:w="11906" w:h="16838" w:orient="portrait"/>
          <w:pgMar w:top="850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6"/>
          <w:szCs w:val="26"/>
          <w:highlight w:val="none"/>
        </w:rPr>
      </w:pPr>
      <w:r>
        <w:rPr>
          <w:rFonts w:ascii="Liberation Sans" w:hAnsi="Liberation Sans" w:eastAsia="Liberation Serif" w:cs="Liberation Sans"/>
          <w:sz w:val="26"/>
          <w:szCs w:val="26"/>
        </w:rPr>
        <w:t xml:space="preserve">ПРИЛОЖЕНИЕ </w:t>
      </w:r>
      <w:r>
        <w:rPr>
          <w:sz w:val="26"/>
          <w:szCs w:val="26"/>
        </w:rPr>
      </w:r>
      <w:r/>
    </w:p>
    <w:p>
      <w:pPr>
        <w:ind w:left="8647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  <w:highlight w:val="none"/>
        </w:rPr>
      </w:r>
      <w:r>
        <w:rPr>
          <w:sz w:val="26"/>
          <w:szCs w:val="26"/>
        </w:rPr>
      </w:r>
      <w:r/>
    </w:p>
    <w:p>
      <w:pPr>
        <w:ind w:left="8647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  <w:t xml:space="preserve">к приказу департамента тарифной политики, энергетики и жилищно-коммунального комплекса</w:t>
      </w:r>
      <w:r>
        <w:rPr>
          <w:sz w:val="26"/>
          <w:szCs w:val="26"/>
        </w:rPr>
      </w:r>
      <w:r/>
    </w:p>
    <w:p>
      <w:pPr>
        <w:ind w:left="8647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  <w:t xml:space="preserve">Ямало-Ненецкого автономного округ</w:t>
      </w:r>
      <w:r>
        <w:rPr>
          <w:rFonts w:ascii="Liberation Sans" w:hAnsi="Liberation Sans" w:eastAsia="Liberation Serif" w:cs="Liberation Sans"/>
          <w:sz w:val="26"/>
          <w:szCs w:val="26"/>
        </w:rPr>
        <w:t xml:space="preserve">а </w:t>
      </w:r>
      <w:r>
        <w:rPr>
          <w:sz w:val="26"/>
          <w:szCs w:val="26"/>
        </w:rPr>
      </w:r>
      <w:r/>
    </w:p>
    <w:p>
      <w:pPr>
        <w:ind w:left="8647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2024 года № 570-т</w:t>
      </w:r>
      <w:r/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sz w:val="26"/>
          <w:szCs w:val="26"/>
        </w:rPr>
      </w:r>
      <w:r/>
    </w:p>
    <w:p>
      <w:pPr>
        <w:jc w:val="left"/>
        <w:rPr>
          <w:rFonts w:ascii="Liberation Sans" w:hAnsi="Liberation Sans" w:cs="Liberation Sans"/>
          <w:sz w:val="26"/>
          <w:szCs w:val="26"/>
        </w:rPr>
        <w:outlineLvl w:val="0"/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rPr>
          <w:rFonts w:ascii="Liberation Sans" w:hAnsi="Liberation Sans" w:cs="Liberation Sans"/>
          <w:bCs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Тарифы на подвоз воды</w:t>
      </w:r>
      <w:r>
        <w:rPr>
          <w:rFonts w:ascii="Liberation Sans" w:hAnsi="Liberation Sans" w:eastAsia="Liberation Serif" w:cs="Liberation Sans"/>
          <w:sz w:val="26"/>
          <w:szCs w:val="26"/>
        </w:rPr>
        <w:t xml:space="preserve">, установленные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6"/>
          <w:szCs w:val="26"/>
        </w:rPr>
        <w:t xml:space="preserve">акционерному обществу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6"/>
          <w:szCs w:val="26"/>
        </w:rPr>
        <w:t xml:space="preserve">«Тепло-Энергетик»</w:t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 </w:t>
      </w:r>
      <w:r>
        <w:rPr>
          <w:rFonts w:ascii="Liberation Sans" w:hAnsi="Liberation Sans" w:eastAsia="Liberation Serif" w:cs="Liberation Sans"/>
          <w:bCs/>
          <w:sz w:val="26"/>
          <w:szCs w:val="26"/>
        </w:rPr>
        <w:t xml:space="preserve"> </w:t>
      </w:r>
      <w:r>
        <w:rPr>
          <w:sz w:val="26"/>
          <w:szCs w:val="26"/>
        </w:rPr>
      </w:r>
      <w:r/>
    </w:p>
    <w:p>
      <w:pPr>
        <w:jc w:val="center"/>
        <w:rPr>
          <w:rFonts w:ascii="Liberation Sans" w:hAnsi="Liberation Sans" w:cs="Liberation Sans"/>
          <w:b w:val="0"/>
          <w:bCs w:val="0"/>
          <w:sz w:val="26"/>
          <w:szCs w:val="26"/>
        </w:rPr>
      </w:pPr>
      <w:r>
        <w:rPr>
          <w:rFonts w:ascii="Liberation Sans" w:hAnsi="Liberation Sans" w:eastAsia="Liberation Serif" w:cs="Liberation Sans"/>
          <w:bCs/>
          <w:sz w:val="26"/>
          <w:szCs w:val="26"/>
        </w:rPr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для расчетов 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6"/>
          <w:szCs w:val="26"/>
        </w:rPr>
        <w:t xml:space="preserve">городского округа город Лабытнанги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6"/>
          <w:szCs w:val="26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6"/>
          <w:szCs w:val="26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на 2025 год</w:t>
      </w:r>
      <w:r>
        <w:rPr>
          <w:sz w:val="26"/>
          <w:szCs w:val="26"/>
        </w:rPr>
      </w:r>
      <w:r/>
    </w:p>
    <w:p>
      <w:pPr>
        <w:jc w:val="center"/>
        <w:rPr>
          <w:rFonts w:ascii="Liberation Sans" w:hAnsi="Liberation Sans" w:cs="Liberation Sans"/>
          <w:sz w:val="26"/>
          <w:szCs w:val="26"/>
        </w:rPr>
        <w:outlineLvl w:val="0"/>
      </w:pPr>
      <w:r>
        <w:rPr>
          <w:rFonts w:ascii="Liberation Sans" w:hAnsi="Liberation Sans" w:cs="Liberation Sans"/>
          <w:sz w:val="26"/>
          <w:szCs w:val="26"/>
        </w:rPr>
      </w:r>
      <w:r>
        <w:rPr>
          <w:sz w:val="26"/>
          <w:szCs w:val="26"/>
        </w:rPr>
      </w:r>
      <w:r/>
    </w:p>
    <w:p>
      <w:pPr>
        <w:jc w:val="right"/>
        <w:rPr>
          <w:rFonts w:ascii="Liberation Sans" w:hAnsi="Liberation Sans" w:cs="Liberation Sans"/>
          <w:sz w:val="26"/>
          <w:szCs w:val="26"/>
        </w:rPr>
        <w:outlineLvl w:val="0"/>
      </w:pPr>
      <w:r>
        <w:rPr>
          <w:rFonts w:ascii="Liberation Sans" w:hAnsi="Liberation Sans" w:eastAsia="Liberation Serif" w:cs="Liberation Sans"/>
          <w:sz w:val="26"/>
          <w:szCs w:val="26"/>
        </w:rPr>
        <w:t xml:space="preserve">Таблица 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7228"/>
        <w:gridCol w:w="659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п/п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Потребители </w:t>
            </w:r>
            <w:r>
              <w:rPr>
                <w:sz w:val="26"/>
                <w:szCs w:val="26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коммунальных ресурсов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Тариф на подвоз воды </w:t>
            </w: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1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7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1.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Иные потребители,</w:t>
            </w:r>
            <w:r>
              <w:rPr>
                <w:sz w:val="26"/>
                <w:szCs w:val="26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руб./м3 (без НДС)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none"/>
              </w:rPr>
              <w:t xml:space="preserve">847,59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none"/>
              </w:rPr>
              <w:t xml:space="preserve">847,59</w:t>
            </w:r>
            <w:r/>
          </w:p>
        </w:tc>
      </w:tr>
      <w:tr>
        <w:trPr>
          <w:trHeight w:val="7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2.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Потребители, имеющие право на льготные тарифы&lt;*&gt;</w:t>
            </w:r>
            <w:r>
              <w:rPr>
                <w:sz w:val="26"/>
                <w:szCs w:val="26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руб./м3 (без НДС)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none"/>
              </w:rPr>
              <w:t xml:space="preserve">56,78</w:t>
            </w:r>
            <w:r>
              <w:rPr>
                <w:sz w:val="26"/>
                <w:szCs w:val="26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none"/>
              </w:rPr>
              <w:t xml:space="preserve">61,55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3.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Население&lt;**&gt;,</w:t>
            </w:r>
            <w:r>
              <w:rPr>
                <w:sz w:val="26"/>
                <w:szCs w:val="26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руб./м3 (включая НДС)&lt;***&gt;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none"/>
              </w:rPr>
              <w:t xml:space="preserve">68,14</w:t>
            </w:r>
            <w:r>
              <w:rPr>
                <w:sz w:val="26"/>
                <w:szCs w:val="26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none"/>
              </w:rPr>
              <w:t xml:space="preserve">73,86</w:t>
            </w:r>
            <w:r>
              <w:rPr>
                <w:sz w:val="26"/>
                <w:szCs w:val="26"/>
              </w:rPr>
            </w:r>
            <w:r/>
          </w:p>
        </w:tc>
      </w:tr>
    </w:tbl>
    <w:p>
      <w:pPr>
        <w:ind w:left="0" w:right="-170"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19"/>
          <w:szCs w:val="19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.</w:t>
      </w:r>
      <w:r>
        <w:rPr>
          <w:sz w:val="19"/>
          <w:szCs w:val="19"/>
        </w:rPr>
      </w:r>
      <w:r/>
    </w:p>
    <w:p>
      <w:pPr>
        <w:ind w:left="0" w:right="-170"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». </w:t>
      </w:r>
      <w:r>
        <w:rPr>
          <w:sz w:val="19"/>
          <w:szCs w:val="19"/>
        </w:rPr>
      </w:r>
      <w:r/>
    </w:p>
    <w:p>
      <w:pPr>
        <w:ind w:left="0" w:right="-170"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о кодекса Российской Федерации (часть вторая).</w:t>
        <w:tab/>
        <w:tab/>
      </w:r>
      <w:r>
        <w:rPr>
          <w:rFonts w:ascii="Liberation Sans" w:hAnsi="Liberation Sans" w:eastAsia="Liberation Serif" w:cs="Liberation Sans"/>
          <w:color w:val="000000" w:themeColor="text1"/>
        </w:rPr>
        <w:tab/>
        <w:tab/>
        <w:t xml:space="preserve">            </w:t>
      </w:r>
      <w:r>
        <w:rPr>
          <w:rFonts w:ascii="Liberation Sans" w:hAnsi="Liberation Sans" w:eastAsia="Liberation Serif" w:cs="Liberation Sans"/>
        </w:rPr>
        <w:t xml:space="preserve"> 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1049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2">
    <w:name w:val="Heading 1 Char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643">
    <w:name w:val="Heading 2 Char"/>
    <w:basedOn w:val="667"/>
    <w:link w:val="659"/>
    <w:uiPriority w:val="9"/>
    <w:rPr>
      <w:rFonts w:ascii="Arial" w:hAnsi="Arial" w:eastAsia="Arial" w:cs="Arial"/>
      <w:sz w:val="34"/>
    </w:rPr>
  </w:style>
  <w:style w:type="character" w:styleId="644">
    <w:name w:val="Heading 3 Char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645">
    <w:name w:val="Heading 4 Char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46">
    <w:name w:val="Heading 5 Char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47">
    <w:name w:val="Heading 6 Char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48">
    <w:name w:val="Heading 7 Char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8 Char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50">
    <w:name w:val="Heading 9 Char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51">
    <w:name w:val="Title Char"/>
    <w:basedOn w:val="667"/>
    <w:link w:val="681"/>
    <w:uiPriority w:val="10"/>
    <w:rPr>
      <w:sz w:val="48"/>
      <w:szCs w:val="48"/>
    </w:rPr>
  </w:style>
  <w:style w:type="character" w:styleId="652">
    <w:name w:val="Subtitle Char"/>
    <w:basedOn w:val="667"/>
    <w:link w:val="683"/>
    <w:uiPriority w:val="11"/>
    <w:rPr>
      <w:sz w:val="24"/>
      <w:szCs w:val="24"/>
    </w:rPr>
  </w:style>
  <w:style w:type="character" w:styleId="653">
    <w:name w:val="Quote Char"/>
    <w:link w:val="685"/>
    <w:uiPriority w:val="29"/>
    <w:rPr>
      <w:i/>
    </w:rPr>
  </w:style>
  <w:style w:type="character" w:styleId="654">
    <w:name w:val="Intense Quote Char"/>
    <w:link w:val="687"/>
    <w:uiPriority w:val="30"/>
    <w:rPr>
      <w:i/>
    </w:rPr>
  </w:style>
  <w:style w:type="character" w:styleId="655">
    <w:name w:val="Footnote Text Char"/>
    <w:link w:val="822"/>
    <w:uiPriority w:val="99"/>
    <w:rPr>
      <w:sz w:val="18"/>
    </w:rPr>
  </w:style>
  <w:style w:type="character" w:styleId="656">
    <w:name w:val="Endnote Text Char"/>
    <w:link w:val="825"/>
    <w:uiPriority w:val="99"/>
    <w:rPr>
      <w:sz w:val="20"/>
    </w:rPr>
  </w:style>
  <w:style w:type="paragraph" w:styleId="657" w:default="1">
    <w:name w:val="Normal"/>
    <w:qFormat/>
    <w:rPr>
      <w:lang w:eastAsia="zh-CN"/>
    </w:rPr>
  </w:style>
  <w:style w:type="paragraph" w:styleId="658">
    <w:name w:val="Heading 1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9">
    <w:name w:val="Heading 2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0">
    <w:name w:val="Heading 3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1">
    <w:name w:val="Heading 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2">
    <w:name w:val="Heading 5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3">
    <w:name w:val="Heading 6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4">
    <w:name w:val="Heading 7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5">
    <w:name w:val="Heading 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6">
    <w:name w:val="Heading 9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Заголовок 1 Знак"/>
    <w:link w:val="658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Заголовок 2 Знак"/>
    <w:link w:val="659"/>
    <w:uiPriority w:val="9"/>
    <w:rPr>
      <w:rFonts w:ascii="Arial" w:hAnsi="Arial" w:eastAsia="Arial" w:cs="Arial"/>
      <w:sz w:val="34"/>
    </w:rPr>
  </w:style>
  <w:style w:type="character" w:styleId="672" w:customStyle="1">
    <w:name w:val="Заголовок 3 Знак"/>
    <w:link w:val="660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Заголовок 4 Знак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Заголовок 5 Знак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Заголовок 6 Знак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0">
    <w:name w:val="No Spacing"/>
    <w:uiPriority w:val="1"/>
    <w:qFormat/>
    <w:rPr>
      <w:lang w:eastAsia="zh-CN"/>
    </w:rPr>
  </w:style>
  <w:style w:type="paragraph" w:styleId="681">
    <w:name w:val="Title"/>
    <w:link w:val="68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2" w:customStyle="1">
    <w:name w:val="Название Знак"/>
    <w:link w:val="681"/>
    <w:uiPriority w:val="10"/>
    <w:rPr>
      <w:sz w:val="48"/>
      <w:szCs w:val="48"/>
    </w:rPr>
  </w:style>
  <w:style w:type="paragraph" w:styleId="683">
    <w:name w:val="Subtitle"/>
    <w:link w:val="68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4" w:customStyle="1">
    <w:name w:val="Подзаголовок Знак"/>
    <w:link w:val="683"/>
    <w:uiPriority w:val="11"/>
    <w:rPr>
      <w:sz w:val="24"/>
      <w:szCs w:val="24"/>
    </w:rPr>
  </w:style>
  <w:style w:type="paragraph" w:styleId="685">
    <w:name w:val="Quote"/>
    <w:link w:val="686"/>
    <w:uiPriority w:val="29"/>
    <w:qFormat/>
    <w:pPr>
      <w:ind w:left="720" w:right="720"/>
    </w:pPr>
    <w:rPr>
      <w:i/>
      <w:lang w:eastAsia="zh-CN"/>
    </w:rPr>
  </w:style>
  <w:style w:type="character" w:styleId="686" w:customStyle="1">
    <w:name w:val="Цитата 2 Знак"/>
    <w:link w:val="685"/>
    <w:uiPriority w:val="29"/>
    <w:rPr>
      <w:i/>
    </w:rPr>
  </w:style>
  <w:style w:type="paragraph" w:styleId="687">
    <w:name w:val="Intense Quote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88" w:customStyle="1">
    <w:name w:val="Выделенная цитата Знак"/>
    <w:link w:val="687"/>
    <w:uiPriority w:val="30"/>
    <w:rPr>
      <w:i/>
    </w:rPr>
  </w:style>
  <w:style w:type="paragraph" w:styleId="689">
    <w:name w:val="Header"/>
    <w:basedOn w:val="657"/>
    <w:link w:val="845"/>
    <w:pPr>
      <w:tabs>
        <w:tab w:val="center" w:pos="4677" w:leader="none"/>
        <w:tab w:val="right" w:pos="9355" w:leader="none"/>
      </w:tabs>
    </w:pPr>
  </w:style>
  <w:style w:type="character" w:styleId="690" w:customStyle="1">
    <w:name w:val="Header Char"/>
    <w:uiPriority w:val="99"/>
  </w:style>
  <w:style w:type="paragraph" w:styleId="691">
    <w:name w:val="Footer"/>
    <w:basedOn w:val="657"/>
    <w:link w:val="846"/>
    <w:pPr>
      <w:tabs>
        <w:tab w:val="center" w:pos="4677" w:leader="none"/>
        <w:tab w:val="right" w:pos="9355" w:leader="none"/>
      </w:tabs>
    </w:pPr>
  </w:style>
  <w:style w:type="character" w:styleId="692" w:customStyle="1">
    <w:name w:val="Footer Char"/>
    <w:uiPriority w:val="99"/>
  </w:style>
  <w:style w:type="paragraph" w:styleId="69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4" w:customStyle="1">
    <w:name w:val="Caption Char"/>
    <w:uiPriority w:val="99"/>
  </w:style>
  <w:style w:type="table" w:styleId="695">
    <w:name w:val="Table Grid"/>
    <w:basedOn w:val="668"/>
    <w:tblPr/>
  </w:style>
  <w:style w:type="table" w:styleId="69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1">
    <w:name w:val="Hyperlink"/>
    <w:uiPriority w:val="99"/>
    <w:unhideWhenUsed/>
    <w:rPr>
      <w:color w:val="0000ff"/>
      <w:u w:val="single"/>
    </w:rPr>
  </w:style>
  <w:style w:type="paragraph" w:styleId="822">
    <w:name w:val="footnote text"/>
    <w:link w:val="823"/>
    <w:uiPriority w:val="99"/>
    <w:semiHidden/>
    <w:unhideWhenUsed/>
    <w:pPr>
      <w:spacing w:after="40"/>
    </w:pPr>
    <w:rPr>
      <w:sz w:val="18"/>
      <w:lang w:eastAsia="zh-CN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uiPriority w:val="99"/>
    <w:unhideWhenUsed/>
    <w:rPr>
      <w:vertAlign w:val="superscript"/>
    </w:rPr>
  </w:style>
  <w:style w:type="paragraph" w:styleId="825">
    <w:name w:val="endnote text"/>
    <w:link w:val="826"/>
    <w:uiPriority w:val="99"/>
    <w:semiHidden/>
    <w:unhideWhenUsed/>
    <w:rPr>
      <w:lang w:eastAsia="zh-CN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uiPriority w:val="99"/>
    <w:semiHidden/>
    <w:unhideWhenUsed/>
    <w:rPr>
      <w:vertAlign w:val="superscript"/>
    </w:rPr>
  </w:style>
  <w:style w:type="paragraph" w:styleId="828">
    <w:name w:val="toc 1"/>
    <w:uiPriority w:val="39"/>
    <w:unhideWhenUsed/>
    <w:pPr>
      <w:spacing w:after="57"/>
    </w:pPr>
    <w:rPr>
      <w:lang w:eastAsia="zh-CN"/>
    </w:rPr>
  </w:style>
  <w:style w:type="paragraph" w:styleId="82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7">
    <w:name w:val="TOC Heading"/>
    <w:uiPriority w:val="39"/>
    <w:unhideWhenUsed/>
    <w:rPr>
      <w:lang w:eastAsia="zh-CN"/>
    </w:rPr>
  </w:style>
  <w:style w:type="paragraph" w:styleId="838">
    <w:name w:val="table of figures"/>
    <w:uiPriority w:val="99"/>
    <w:unhideWhenUsed/>
    <w:rPr>
      <w:lang w:eastAsia="zh-CN"/>
    </w:rPr>
  </w:style>
  <w:style w:type="paragraph" w:styleId="839" w:customStyle="1">
    <w:name w:val="Знак Знак Знак Знак"/>
    <w:basedOn w:val="657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0" w:customStyle="1">
    <w:name w:val="ConsPlusNormal"/>
    <w:pPr>
      <w:ind w:firstLine="720"/>
    </w:pPr>
    <w:rPr>
      <w:rFonts w:ascii="Arial" w:hAnsi="Arial"/>
    </w:rPr>
  </w:style>
  <w:style w:type="paragraph" w:styleId="841" w:customStyle="1">
    <w:name w:val="ConsPlusCell"/>
    <w:pPr>
      <w:widowControl w:val="off"/>
    </w:pPr>
    <w:rPr>
      <w:rFonts w:ascii="Arial" w:hAnsi="Arial"/>
    </w:rPr>
  </w:style>
  <w:style w:type="paragraph" w:styleId="842">
    <w:name w:val="Body Text Indent 2"/>
    <w:basedOn w:val="657"/>
    <w:link w:val="844"/>
    <w:pPr>
      <w:ind w:firstLine="720"/>
      <w:jc w:val="both"/>
    </w:pPr>
    <w:rPr>
      <w:sz w:val="28"/>
    </w:rPr>
  </w:style>
  <w:style w:type="paragraph" w:styleId="843" w:customStyle="1">
    <w:name w:val="ConsPlusNonformat"/>
    <w:rPr>
      <w:rFonts w:ascii="Courier New" w:hAnsi="Courier New"/>
    </w:rPr>
  </w:style>
  <w:style w:type="character" w:styleId="844" w:customStyle="1">
    <w:name w:val="Основной текст с отступом 2 Знак"/>
    <w:link w:val="842"/>
    <w:rPr>
      <w:sz w:val="28"/>
      <w:szCs w:val="24"/>
    </w:rPr>
  </w:style>
  <w:style w:type="character" w:styleId="845" w:customStyle="1">
    <w:name w:val="Верхний колонтитул Знак"/>
    <w:link w:val="689"/>
    <w:rPr>
      <w:sz w:val="24"/>
      <w:szCs w:val="24"/>
    </w:rPr>
  </w:style>
  <w:style w:type="character" w:styleId="846" w:customStyle="1">
    <w:name w:val="Нижний колонтитул Знак"/>
    <w:link w:val="691"/>
    <w:rPr>
      <w:sz w:val="24"/>
      <w:szCs w:val="24"/>
    </w:rPr>
  </w:style>
  <w:style w:type="paragraph" w:styleId="847">
    <w:name w:val="Balloon Text"/>
    <w:basedOn w:val="657"/>
    <w:link w:val="848"/>
    <w:rPr>
      <w:rFonts w:ascii="Tahoma" w:hAnsi="Tahoma"/>
      <w:sz w:val="16"/>
      <w:szCs w:val="16"/>
    </w:rPr>
  </w:style>
  <w:style w:type="character" w:styleId="848" w:customStyle="1">
    <w:name w:val="Текст выноски Знак"/>
    <w:link w:val="847"/>
    <w:rPr>
      <w:rFonts w:ascii="Tahoma" w:hAnsi="Tahoma"/>
      <w:sz w:val="16"/>
      <w:szCs w:val="16"/>
    </w:rPr>
  </w:style>
  <w:style w:type="paragraph" w:styleId="849" w:customStyle="1">
    <w:name w:val="Обычный"/>
    <w:next w:val="830"/>
    <w:link w:val="83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0" w:customStyle="1">
    <w:name w:val="Основной текст с отступом 2"/>
    <w:basedOn w:val="849"/>
    <w:next w:val="838"/>
    <w:link w:val="84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365AED68EC0A6655463CE1D1A489055AE601029C57B406C19C50D6866798E59Dd1E3K" TargetMode="External"/><Relationship Id="rId12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Спиркин</dc:creator>
  <cp:revision>20</cp:revision>
  <dcterms:created xsi:type="dcterms:W3CDTF">2022-11-18T04:47:00Z</dcterms:created>
  <dcterms:modified xsi:type="dcterms:W3CDTF">2024-12-19T07:07:32Z</dcterms:modified>
</cp:coreProperties>
</file>